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5385" w14:textId="77777777" w:rsidR="009C3635" w:rsidRDefault="009C3635">
      <w:pPr>
        <w:spacing w:line="360" w:lineRule="auto"/>
        <w:jc w:val="both"/>
        <w:rPr>
          <w:b/>
          <w:sz w:val="24"/>
          <w:szCs w:val="24"/>
        </w:rPr>
      </w:pPr>
    </w:p>
    <w:p w14:paraId="3CAED5FB" w14:textId="77777777" w:rsidR="009C3635" w:rsidRDefault="009C3635">
      <w:pPr>
        <w:spacing w:line="360" w:lineRule="auto"/>
        <w:jc w:val="both"/>
        <w:rPr>
          <w:b/>
          <w:sz w:val="24"/>
          <w:szCs w:val="24"/>
        </w:rPr>
      </w:pPr>
    </w:p>
    <w:p w14:paraId="1A53CEA9" w14:textId="77777777" w:rsidR="009C3635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</w:t>
      </w:r>
    </w:p>
    <w:p w14:paraId="1C2BE005" w14:textId="77777777" w:rsidR="009C3635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Praha, 26. 5. 2023</w:t>
      </w:r>
    </w:p>
    <w:p w14:paraId="5A3DE340" w14:textId="77777777" w:rsidR="009C3635" w:rsidRDefault="00000000">
      <w:pPr>
        <w:pStyle w:val="Nzev"/>
        <w:rPr>
          <w:sz w:val="30"/>
          <w:szCs w:val="30"/>
        </w:rPr>
      </w:pPr>
      <w:bookmarkStart w:id="0" w:name="_heading=h.pt8m6omzg13w" w:colFirst="0" w:colLast="0"/>
      <w:bookmarkEnd w:id="0"/>
      <w:r>
        <w:rPr>
          <w:sz w:val="30"/>
          <w:szCs w:val="30"/>
        </w:rPr>
        <w:t>Neziskové organizace hodnotily české předsednictví trojkou, usilují o lepší spolupráci se státem na evropských tématech</w:t>
      </w:r>
    </w:p>
    <w:p w14:paraId="1343FA60" w14:textId="77777777" w:rsidR="009C3635" w:rsidRDefault="009C3635">
      <w:pPr>
        <w:jc w:val="both"/>
        <w:rPr>
          <w:rFonts w:ascii="Roboto" w:eastAsia="Roboto" w:hAnsi="Roboto" w:cs="Roboto"/>
          <w:color w:val="444746"/>
          <w:sz w:val="21"/>
          <w:szCs w:val="21"/>
        </w:rPr>
      </w:pPr>
    </w:p>
    <w:p w14:paraId="31E8EC79" w14:textId="77777777" w:rsidR="009C3635" w:rsidRDefault="009C3635">
      <w:pPr>
        <w:tabs>
          <w:tab w:val="left" w:pos="8064"/>
        </w:tabs>
        <w:jc w:val="both"/>
        <w:rPr>
          <w:b/>
          <w:i/>
          <w:sz w:val="24"/>
          <w:szCs w:val="24"/>
        </w:rPr>
      </w:pPr>
    </w:p>
    <w:p w14:paraId="4FC4AF41" w14:textId="77777777" w:rsidR="009C3635" w:rsidRDefault="00000000">
      <w:pPr>
        <w:tabs>
          <w:tab w:val="left" w:pos="8064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Česká republika loňský rok předsedala Radě EU. Jak se jí dařilo a jak do své agendy vláda zapojila nestátní neziskové organizace (NNO) hodnotilo 20 sítí a velkých neziskových organizací v rámci šetření uskutečněném </w:t>
      </w:r>
      <w:proofErr w:type="spellStart"/>
      <w:r>
        <w:rPr>
          <w:b/>
          <w:i/>
          <w:sz w:val="24"/>
          <w:szCs w:val="24"/>
        </w:rPr>
        <w:t>Glopolis</w:t>
      </w:r>
      <w:proofErr w:type="spellEnd"/>
      <w:r>
        <w:rPr>
          <w:b/>
          <w:i/>
          <w:sz w:val="24"/>
          <w:szCs w:val="24"/>
        </w:rPr>
        <w:t xml:space="preserve">, o.p.s. </w:t>
      </w:r>
    </w:p>
    <w:p w14:paraId="47842D86" w14:textId="77777777" w:rsidR="009C3635" w:rsidRDefault="009C3635">
      <w:pPr>
        <w:tabs>
          <w:tab w:val="left" w:pos="8064"/>
        </w:tabs>
        <w:jc w:val="both"/>
        <w:rPr>
          <w:b/>
          <w:i/>
          <w:sz w:val="24"/>
          <w:szCs w:val="24"/>
        </w:rPr>
      </w:pPr>
    </w:p>
    <w:p w14:paraId="34D35083" w14:textId="77777777" w:rsidR="009C363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výsledků hodnocení pověřila minulý týden </w:t>
      </w:r>
      <w:r>
        <w:rPr>
          <w:b/>
          <w:sz w:val="24"/>
          <w:szCs w:val="24"/>
        </w:rPr>
        <w:t>Rada vlády pro nestátní neziskové organizace</w:t>
      </w:r>
      <w:r>
        <w:rPr>
          <w:sz w:val="24"/>
          <w:szCs w:val="24"/>
        </w:rPr>
        <w:t xml:space="preserve"> vládní zmocněnkyni pro lidská práva </w:t>
      </w:r>
      <w:r>
        <w:rPr>
          <w:b/>
          <w:sz w:val="24"/>
          <w:szCs w:val="24"/>
        </w:rPr>
        <w:t xml:space="preserve">Kláru Šimáčkovou </w:t>
      </w:r>
      <w:proofErr w:type="spellStart"/>
      <w:r>
        <w:rPr>
          <w:b/>
          <w:sz w:val="24"/>
          <w:szCs w:val="24"/>
        </w:rPr>
        <w:t>Laurenčíkovou</w:t>
      </w:r>
      <w:proofErr w:type="spellEnd"/>
      <w:r>
        <w:rPr>
          <w:sz w:val="24"/>
          <w:szCs w:val="24"/>
        </w:rPr>
        <w:t xml:space="preserve">, aby jednala s ministrem pro evropské záležitosti na zavedení doporučení NNO pro lepší spolupráci státu a neziskových organizací na evropských tématech do praxe. </w:t>
      </w:r>
    </w:p>
    <w:p w14:paraId="29C47B79" w14:textId="77777777" w:rsidR="009C3635" w:rsidRDefault="009C3635">
      <w:pPr>
        <w:jc w:val="both"/>
        <w:rPr>
          <w:sz w:val="24"/>
          <w:szCs w:val="24"/>
        </w:rPr>
      </w:pPr>
    </w:p>
    <w:p w14:paraId="71C1882D" w14:textId="77777777" w:rsidR="009C3635" w:rsidRDefault="00000000">
      <w:p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Glopolis</w:t>
      </w:r>
      <w:proofErr w:type="spellEnd"/>
      <w:r>
        <w:rPr>
          <w:sz w:val="24"/>
          <w:szCs w:val="24"/>
        </w:rPr>
        <w:t xml:space="preserve"> uskutečnila dotazníkové šetření mezi NNO na základě zadání od Výboru pro EU při Radě vlády pro nestátní neziskové organizace. Výbor vybral </w:t>
      </w:r>
      <w:r>
        <w:rPr>
          <w:b/>
          <w:sz w:val="24"/>
          <w:szCs w:val="24"/>
        </w:rPr>
        <w:t>své hlavní priority z doporučení,</w:t>
      </w:r>
      <w:r>
        <w:rPr>
          <w:sz w:val="24"/>
          <w:szCs w:val="24"/>
        </w:rPr>
        <w:t xml:space="preserve"> která ze šetření s ohledem na možnosti zapojení NNO do evropské problematiky vyplynula. Na základě prvního z nich mají být o</w:t>
      </w:r>
      <w:r>
        <w:rPr>
          <w:color w:val="000000"/>
          <w:sz w:val="24"/>
          <w:szCs w:val="24"/>
        </w:rPr>
        <w:t xml:space="preserve">borové sítě </w:t>
      </w:r>
      <w:r>
        <w:rPr>
          <w:sz w:val="24"/>
          <w:szCs w:val="24"/>
        </w:rPr>
        <w:t>neziskových organizací</w:t>
      </w:r>
      <w:r>
        <w:rPr>
          <w:color w:val="000000"/>
          <w:sz w:val="24"/>
          <w:szCs w:val="24"/>
        </w:rPr>
        <w:t xml:space="preserve"> zapojen</w:t>
      </w:r>
      <w:r>
        <w:rPr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do připomínkování evropských agend trvale na úrovni příslušných ministerstev, např. v rámci resortních koordinačních skupin či v podobě strategických partnerství mezi resorty a NNO. </w:t>
      </w:r>
      <w:r>
        <w:rPr>
          <w:sz w:val="24"/>
          <w:szCs w:val="24"/>
        </w:rPr>
        <w:t>Druhé doporučení směřuje k tomu, aby s</w:t>
      </w:r>
      <w:r>
        <w:rPr>
          <w:color w:val="000000"/>
          <w:sz w:val="24"/>
          <w:szCs w:val="24"/>
        </w:rPr>
        <w:t>tát podporova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„kulturu participace“ 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spolupráci státu s NNO finančně i personálně. </w:t>
      </w:r>
    </w:p>
    <w:p w14:paraId="28922188" w14:textId="77777777" w:rsidR="009C3635" w:rsidRDefault="009C3635">
      <w:pPr>
        <w:jc w:val="both"/>
        <w:rPr>
          <w:b/>
          <w:sz w:val="26"/>
          <w:szCs w:val="26"/>
        </w:rPr>
      </w:pPr>
    </w:p>
    <w:p w14:paraId="091D2990" w14:textId="77777777" w:rsidR="009C363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Sítě neziskových organizací, které se samy aktivně účastnily spolupráce v rámci českého předsednictví, hodnotily naplnění cílů očekávaných neziskovým sektorem v evropské politice jako průměrné. </w:t>
      </w:r>
      <w:r>
        <w:rPr>
          <w:b/>
          <w:sz w:val="24"/>
          <w:szCs w:val="24"/>
        </w:rPr>
        <w:t>Průměrné hodnocení</w:t>
      </w:r>
      <w:r>
        <w:rPr>
          <w:sz w:val="24"/>
          <w:szCs w:val="24"/>
        </w:rPr>
        <w:t xml:space="preserve"> obdrželo české předsednictví, i pokud jde o jeho výkon a míru jeho vlivu na změny ve sledovaných oblastech. </w:t>
      </w:r>
      <w:r>
        <w:rPr>
          <w:b/>
          <w:sz w:val="24"/>
          <w:szCs w:val="24"/>
        </w:rPr>
        <w:t>Nad průměrem</w:t>
      </w:r>
      <w:r>
        <w:rPr>
          <w:sz w:val="24"/>
          <w:szCs w:val="24"/>
        </w:rPr>
        <w:t xml:space="preserve"> byly hodnoceny posuny v oblasti rovnosti žen a mužů, ve věci posilování odolnosti vůči ruskému vlivu a kybernetickým hrozbám, ve věci zvládnutí uprchlické krize a poválečné obnovy Ukrajiny a v oblasti humanitární a rozvojové pomoci. Mírně nadprůměrně byl hodnocen vývoj v oblasti energetické bezpečnosti a transformace. </w:t>
      </w:r>
      <w:r>
        <w:rPr>
          <w:b/>
          <w:sz w:val="24"/>
          <w:szCs w:val="24"/>
        </w:rPr>
        <w:t>Jednoznačně nejhorší hodnocení</w:t>
      </w:r>
      <w:r>
        <w:rPr>
          <w:sz w:val="24"/>
          <w:szCs w:val="24"/>
        </w:rPr>
        <w:t xml:space="preserve"> se týkalo implementace závěrů Konference o budoucnosti Evropy a také podpory právního státu, demokracie a občanské společnosti v Evropě. Podprůměrně byl hodnocen vývoj v oblasti kulturních a kreativních odvětví.</w:t>
      </w:r>
    </w:p>
    <w:p w14:paraId="3ED033E8" w14:textId="77777777" w:rsidR="009C3635" w:rsidRDefault="009C36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46426C5" w14:textId="77777777" w:rsidR="009C3635" w:rsidRDefault="009C3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141414"/>
        </w:rPr>
      </w:pPr>
    </w:p>
    <w:p w14:paraId="21302517" w14:textId="77777777" w:rsidR="009C3635" w:rsidRDefault="009C36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F0BAECF" w14:textId="77777777" w:rsidR="009C3635" w:rsidRDefault="009C36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E3E11AB" w14:textId="77777777" w:rsidR="009C3635" w:rsidRDefault="009C36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E38981F" w14:textId="77777777" w:rsidR="009C3635" w:rsidRDefault="009C36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141414"/>
        </w:rPr>
      </w:pPr>
    </w:p>
    <w:p w14:paraId="58A75BAB" w14:textId="77777777" w:rsidR="009C3635" w:rsidRDefault="009C3635">
      <w:pPr>
        <w:jc w:val="both"/>
        <w:rPr>
          <w:rFonts w:ascii="Open Sans" w:eastAsia="Open Sans" w:hAnsi="Open Sans" w:cs="Open Sans"/>
          <w:b/>
          <w:color w:val="222225"/>
        </w:rPr>
      </w:pPr>
    </w:p>
    <w:p w14:paraId="2774A642" w14:textId="77777777" w:rsidR="009C3635" w:rsidRDefault="00000000">
      <w:pPr>
        <w:spacing w:after="160" w:line="259" w:lineRule="auto"/>
        <w:jc w:val="both"/>
        <w:rPr>
          <w:rFonts w:ascii="Open Sans" w:eastAsia="Open Sans" w:hAnsi="Open Sans" w:cs="Open Sans"/>
          <w:b/>
          <w:color w:val="222225"/>
        </w:rPr>
      </w:pPr>
      <w:r>
        <w:rPr>
          <w:rFonts w:ascii="Open Sans" w:eastAsia="Open Sans" w:hAnsi="Open Sans" w:cs="Open Sans"/>
          <w:b/>
          <w:color w:val="222225"/>
        </w:rPr>
        <w:t>Poznámky pro editory:</w:t>
      </w:r>
    </w:p>
    <w:p w14:paraId="411B0479" w14:textId="77777777" w:rsidR="009C3635" w:rsidRDefault="00000000">
      <w:pPr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hyperlink r:id="rId8">
        <w:r>
          <w:rPr>
            <w:color w:val="0000FF"/>
            <w:sz w:val="24"/>
            <w:szCs w:val="24"/>
            <w:u w:val="single"/>
          </w:rPr>
          <w:t>Rada vlády pro nestátní neziskové organizace</w:t>
        </w:r>
      </w:hyperlink>
      <w:r>
        <w:rPr>
          <w:sz w:val="24"/>
          <w:szCs w:val="24"/>
        </w:rPr>
        <w:t xml:space="preserve"> (RVNNO) je stálým poradním, iniciativním a koordinačním orgánem vlády České republiky v oblasti nestátních neziskových organizací. Rada soustřeďuje, projednává a prostřednictvím svého předsedy předkládá vládě materiály, týkající se NNO a vztahující se k vytváření vhodného prostředí pro jejich existenci a činnost. </w:t>
      </w:r>
    </w:p>
    <w:p w14:paraId="44876F46" w14:textId="77777777" w:rsidR="009C3635" w:rsidRDefault="00000000">
      <w:pPr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Glopolis</w:t>
      </w:r>
      <w:proofErr w:type="spellEnd"/>
      <w:r>
        <w:rPr>
          <w:sz w:val="24"/>
          <w:szCs w:val="24"/>
        </w:rPr>
        <w:t xml:space="preserve">, o.p.s. se stará o chod a rozvoj sítě sítí neziskových organizací </w:t>
      </w:r>
      <w:hyperlink r:id="rId9">
        <w:proofErr w:type="spellStart"/>
        <w:r>
          <w:rPr>
            <w:color w:val="0000FF"/>
            <w:sz w:val="24"/>
            <w:szCs w:val="24"/>
            <w:u w:val="single"/>
          </w:rPr>
          <w:t>NeoN</w:t>
        </w:r>
        <w:proofErr w:type="spellEnd"/>
      </w:hyperlink>
      <w:r>
        <w:rPr>
          <w:sz w:val="24"/>
          <w:szCs w:val="24"/>
        </w:rPr>
        <w:t>, která sdružuje 18 platforem a významných organizací. Vyjednává lepší prostředí pro neziskový sektor a jeho větší zapojení do fungování státu. Koordinuje společný postup v poradních orgánech vlády, řídících či monitorovacích výborech.</w:t>
      </w:r>
    </w:p>
    <w:p w14:paraId="1AC497B0" w14:textId="77777777" w:rsidR="009C3635" w:rsidRDefault="00000000">
      <w:pPr>
        <w:numPr>
          <w:ilvl w:val="0"/>
          <w:numId w:val="1"/>
        </w:numPr>
        <w:jc w:val="both"/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 xml:space="preserve">Celý materiál shrnující hodnocení českého předsednictví v Radě EU z pohledu NNO najdete zde: </w:t>
      </w:r>
      <w:hyperlink r:id="rId10">
        <w:r>
          <w:rPr>
            <w:color w:val="1155CC"/>
            <w:sz w:val="24"/>
            <w:szCs w:val="24"/>
            <w:u w:val="single"/>
          </w:rPr>
          <w:t>Hodnocení českého předsednictví v Radě EU nestátními neziskovými organizacemi</w:t>
        </w:r>
      </w:hyperlink>
    </w:p>
    <w:p w14:paraId="02FC0AD1" w14:textId="77777777" w:rsidR="009C3635" w:rsidRDefault="00000000">
      <w:pPr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Referenčním podkladem pro hodnocení českého předsednictví byl materiál „</w:t>
      </w:r>
      <w:hyperlink r:id="rId11">
        <w:r>
          <w:rPr>
            <w:color w:val="0000FF"/>
            <w:sz w:val="24"/>
            <w:szCs w:val="24"/>
            <w:u w:val="single"/>
          </w:rPr>
          <w:t>Příspěvek nevládních neziskových organizací k přípravě a realizaci programu předsednictví ČR v Radě EU 2022</w:t>
        </w:r>
      </w:hyperlink>
      <w:r>
        <w:rPr>
          <w:sz w:val="24"/>
          <w:szCs w:val="24"/>
        </w:rPr>
        <w:t xml:space="preserve">“, do kterého spolupracující NNO shrnuly svá očekávání směrem k plnění vládních priorit pro předsednictví a nabídly svou expertízu do akcí českého předsednictví, pro komunikační a osvětovou rovinu předsednictví a zprostředkování možnosti zapojení evropských sítí NNO. </w:t>
      </w:r>
    </w:p>
    <w:p w14:paraId="1A37992B" w14:textId="77777777" w:rsidR="009C3635" w:rsidRDefault="00000000">
      <w:pPr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cílem posílit spolupráci státu a NNO se v rámci předsednictví konala i konference Strategická partnerství pro budování demokratické společnosti v Evropě. Její výstupy lze najít zde: </w:t>
      </w:r>
      <w:hyperlink r:id="rId12">
        <w:r>
          <w:rPr>
            <w:color w:val="0000FF"/>
            <w:sz w:val="24"/>
            <w:szCs w:val="24"/>
            <w:u w:val="single"/>
          </w:rPr>
          <w:t>Konference (glopolis.org)</w:t>
        </w:r>
      </w:hyperlink>
      <w:r>
        <w:rPr>
          <w:sz w:val="24"/>
          <w:szCs w:val="24"/>
        </w:rPr>
        <w:t>.</w:t>
      </w:r>
    </w:p>
    <w:p w14:paraId="61FBC4AA" w14:textId="77777777" w:rsidR="009C3635" w:rsidRDefault="009C3635">
      <w:pPr>
        <w:spacing w:line="259" w:lineRule="auto"/>
        <w:jc w:val="both"/>
        <w:rPr>
          <w:rFonts w:ascii="Open Sans" w:eastAsia="Open Sans" w:hAnsi="Open Sans" w:cs="Open Sans"/>
          <w:color w:val="141414"/>
        </w:rPr>
      </w:pPr>
    </w:p>
    <w:p w14:paraId="12B48786" w14:textId="77777777" w:rsidR="009C3635" w:rsidRDefault="009C3635">
      <w:pPr>
        <w:jc w:val="both"/>
        <w:rPr>
          <w:rFonts w:ascii="Open Sans" w:eastAsia="Open Sans" w:hAnsi="Open Sans" w:cs="Open Sans"/>
          <w:b/>
          <w:color w:val="222225"/>
        </w:rPr>
      </w:pPr>
    </w:p>
    <w:p w14:paraId="32BFEA62" w14:textId="77777777" w:rsidR="009C3635" w:rsidRDefault="00000000">
      <w:pPr>
        <w:jc w:val="both"/>
        <w:rPr>
          <w:rFonts w:ascii="Open Sans" w:eastAsia="Open Sans" w:hAnsi="Open Sans" w:cs="Open Sans"/>
          <w:b/>
          <w:color w:val="222225"/>
        </w:rPr>
      </w:pPr>
      <w:r>
        <w:rPr>
          <w:rFonts w:ascii="Open Sans" w:eastAsia="Open Sans" w:hAnsi="Open Sans" w:cs="Open Sans"/>
          <w:b/>
          <w:color w:val="222225"/>
        </w:rPr>
        <w:t>Kontakt pro média:</w:t>
      </w:r>
    </w:p>
    <w:p w14:paraId="078F8F1E" w14:textId="77777777" w:rsidR="009C3635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Blanka </w:t>
      </w:r>
      <w:proofErr w:type="spellStart"/>
      <w:r>
        <w:rPr>
          <w:rFonts w:ascii="Open Sans" w:eastAsia="Open Sans" w:hAnsi="Open Sans" w:cs="Open Sans"/>
        </w:rPr>
        <w:t>Mouralová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Glopolis</w:t>
      </w:r>
      <w:proofErr w:type="spellEnd"/>
      <w:r>
        <w:rPr>
          <w:rFonts w:ascii="Open Sans" w:eastAsia="Open Sans" w:hAnsi="Open Sans" w:cs="Open Sans"/>
        </w:rPr>
        <w:t xml:space="preserve">, o.p.s., e-mail: </w:t>
      </w:r>
      <w:hyperlink r:id="rId13">
        <w:r>
          <w:rPr>
            <w:rFonts w:ascii="Open Sans" w:eastAsia="Open Sans" w:hAnsi="Open Sans" w:cs="Open Sans"/>
            <w:color w:val="1155CC"/>
            <w:u w:val="single"/>
          </w:rPr>
          <w:t>mouralova@glopolis.org</w:t>
        </w:r>
      </w:hyperlink>
      <w:r>
        <w:rPr>
          <w:rFonts w:ascii="Open Sans" w:eastAsia="Open Sans" w:hAnsi="Open Sans" w:cs="Open Sans"/>
        </w:rPr>
        <w:t>, tel. +420 602 706 470</w:t>
      </w:r>
    </w:p>
    <w:p w14:paraId="29721963" w14:textId="77777777" w:rsidR="009C3635" w:rsidRDefault="009C3635">
      <w:pPr>
        <w:spacing w:line="360" w:lineRule="auto"/>
        <w:jc w:val="both"/>
        <w:rPr>
          <w:sz w:val="24"/>
          <w:szCs w:val="24"/>
        </w:rPr>
      </w:pPr>
    </w:p>
    <w:p w14:paraId="1944BA3E" w14:textId="77777777" w:rsidR="009C3635" w:rsidRDefault="009C3635">
      <w:pPr>
        <w:spacing w:line="360" w:lineRule="auto"/>
        <w:jc w:val="both"/>
        <w:rPr>
          <w:b/>
          <w:i/>
          <w:sz w:val="24"/>
          <w:szCs w:val="24"/>
        </w:rPr>
      </w:pPr>
    </w:p>
    <w:sectPr w:rsidR="009C3635">
      <w:headerReference w:type="default" r:id="rId14"/>
      <w:footerReference w:type="even" r:id="rId15"/>
      <w:footerReference w:type="default" r:id="rId16"/>
      <w:pgSz w:w="11906" w:h="16838"/>
      <w:pgMar w:top="1560" w:right="1417" w:bottom="1417" w:left="1417" w:header="107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520B" w14:textId="77777777" w:rsidR="00347356" w:rsidRDefault="00347356">
      <w:r>
        <w:separator/>
      </w:r>
    </w:p>
  </w:endnote>
  <w:endnote w:type="continuationSeparator" w:id="0">
    <w:p w14:paraId="1B7241F7" w14:textId="77777777" w:rsidR="00347356" w:rsidRDefault="0034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A564" w14:textId="77777777" w:rsidR="009C3635" w:rsidRDefault="0000000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52F" w14:textId="77777777" w:rsidR="009C3635" w:rsidRDefault="00000000">
    <w:pPr>
      <w:pBdr>
        <w:top w:val="nil"/>
        <w:left w:val="nil"/>
        <w:bottom w:val="nil"/>
        <w:right w:val="nil"/>
        <w:between w:val="nil"/>
      </w:pBdr>
      <w:ind w:left="-397" w:right="-454"/>
      <w:jc w:val="center"/>
      <w:rPr>
        <w:rFonts w:ascii="Open Sans" w:eastAsia="Open Sans" w:hAnsi="Open Sans" w:cs="Open Sans"/>
        <w:color w:val="F79646"/>
        <w:sz w:val="24"/>
        <w:szCs w:val="24"/>
      </w:rPr>
    </w:pPr>
    <w:r>
      <w:rPr>
        <w:rFonts w:ascii="Open Sans" w:eastAsia="Open Sans" w:hAnsi="Open Sans" w:cs="Open Sans"/>
        <w:b/>
        <w:color w:val="F79646"/>
        <w:sz w:val="24"/>
        <w:szCs w:val="24"/>
      </w:rPr>
      <w:t xml:space="preserve"> </w:t>
    </w:r>
    <w:proofErr w:type="spellStart"/>
    <w:r>
      <w:rPr>
        <w:rFonts w:ascii="Open Sans" w:eastAsia="Open Sans" w:hAnsi="Open Sans" w:cs="Open Sans"/>
        <w:b/>
        <w:color w:val="F79646"/>
        <w:sz w:val="24"/>
        <w:szCs w:val="24"/>
      </w:rPr>
      <w:t>Glopolis</w:t>
    </w:r>
    <w:proofErr w:type="spellEnd"/>
    <w:r>
      <w:rPr>
        <w:rFonts w:ascii="Open Sans" w:eastAsia="Open Sans" w:hAnsi="Open Sans" w:cs="Open Sans"/>
        <w:b/>
        <w:color w:val="F79646"/>
        <w:sz w:val="24"/>
        <w:szCs w:val="24"/>
      </w:rPr>
      <w:t xml:space="preserve">, o.p.s. </w: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29E868AE" wp14:editId="5404B353">
              <wp:simplePos x="0" y="0"/>
              <wp:positionH relativeFrom="column">
                <wp:posOffset>-546099</wp:posOffset>
              </wp:positionH>
              <wp:positionV relativeFrom="paragraph">
                <wp:posOffset>-88899</wp:posOffset>
              </wp:positionV>
              <wp:extent cx="6874240" cy="27400"/>
              <wp:effectExtent l="0" t="0" r="0" b="0"/>
              <wp:wrapSquare wrapText="bothSides" distT="0" distB="0" distL="0" distR="0"/>
              <wp:docPr id="3" name="Volný tv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15730" y="3773650"/>
                        <a:ext cx="686054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804" h="20" extrusionOk="0">
                            <a:moveTo>
                              <a:pt x="0" y="0"/>
                            </a:moveTo>
                            <a:lnTo>
                              <a:pt x="10804" y="0"/>
                            </a:lnTo>
                          </a:path>
                        </a:pathLst>
                      </a:custGeom>
                      <a:noFill/>
                      <a:ln w="13700" cap="flat" cmpd="sng">
                        <a:solidFill>
                          <a:srgbClr val="EF701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-88899</wp:posOffset>
              </wp:positionV>
              <wp:extent cx="6874240" cy="27400"/>
              <wp:effectExtent b="0" l="0" r="0" t="0"/>
              <wp:wrapSquare wrapText="bothSides" distB="0" distT="0" distL="0" distR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4240" cy="27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FBA75FE" w14:textId="77777777" w:rsidR="009C3635" w:rsidRDefault="00000000">
    <w:pPr>
      <w:pBdr>
        <w:top w:val="nil"/>
        <w:left w:val="nil"/>
        <w:bottom w:val="nil"/>
        <w:right w:val="nil"/>
        <w:between w:val="nil"/>
      </w:pBdr>
      <w:ind w:left="-397" w:right="-454"/>
      <w:jc w:val="center"/>
      <w:rPr>
        <w:rFonts w:ascii="Open Sans" w:eastAsia="Open Sans" w:hAnsi="Open Sans" w:cs="Open Sans"/>
        <w:color w:val="F79646"/>
      </w:rPr>
    </w:pPr>
    <w:r>
      <w:rPr>
        <w:rFonts w:ascii="Open Sans" w:eastAsia="Open Sans" w:hAnsi="Open Sans" w:cs="Open Sans"/>
        <w:color w:val="F79646"/>
      </w:rPr>
      <w:t>Botičská 1936/4, Praha 2, 128 00/</w:t>
    </w:r>
    <w:hyperlink r:id="rId2">
      <w:r>
        <w:rPr>
          <w:rFonts w:ascii="Open Sans" w:eastAsia="Open Sans" w:hAnsi="Open Sans" w:cs="Open Sans"/>
          <w:color w:val="F79646"/>
        </w:rPr>
        <w:t>IČ: 27144569</w:t>
      </w:r>
    </w:hyperlink>
    <w:r>
      <w:rPr>
        <w:rFonts w:ascii="Open Sans" w:eastAsia="Open Sans" w:hAnsi="Open Sans" w:cs="Open Sans"/>
        <w:color w:val="F79646"/>
      </w:rPr>
      <w:t xml:space="preserve">  / Česká republika  </w:t>
    </w:r>
  </w:p>
  <w:p w14:paraId="7F4D438C" w14:textId="77777777" w:rsidR="009C3635" w:rsidRDefault="00000000">
    <w:pPr>
      <w:pBdr>
        <w:top w:val="nil"/>
        <w:left w:val="nil"/>
        <w:bottom w:val="nil"/>
        <w:right w:val="nil"/>
        <w:between w:val="nil"/>
      </w:pBdr>
      <w:ind w:left="-397" w:right="-454"/>
      <w:jc w:val="center"/>
      <w:rPr>
        <w:rFonts w:ascii="Open Sans" w:eastAsia="Open Sans" w:hAnsi="Open Sans" w:cs="Open Sans"/>
        <w:color w:val="F79646"/>
      </w:rPr>
    </w:pPr>
    <w:hyperlink r:id="rId3">
      <w:r>
        <w:rPr>
          <w:rFonts w:ascii="Open Sans" w:eastAsia="Open Sans" w:hAnsi="Open Sans" w:cs="Open Sans"/>
          <w:color w:val="F79646"/>
        </w:rPr>
        <w:t>ww</w:t>
      </w:r>
    </w:hyperlink>
    <w:r>
      <w:rPr>
        <w:rFonts w:ascii="Open Sans" w:eastAsia="Open Sans" w:hAnsi="Open Sans" w:cs="Open Sans"/>
        <w:color w:val="F79646"/>
      </w:rPr>
      <w:t>w</w:t>
    </w:r>
    <w:hyperlink r:id="rId4">
      <w:r>
        <w:rPr>
          <w:rFonts w:ascii="Open Sans" w:eastAsia="Open Sans" w:hAnsi="Open Sans" w:cs="Open Sans"/>
          <w:color w:val="F79646"/>
        </w:rPr>
        <w:t xml:space="preserve">.glopolis.org / </w:t>
      </w:r>
    </w:hyperlink>
    <w:r>
      <w:rPr>
        <w:rFonts w:ascii="Open Sans" w:eastAsia="Open Sans" w:hAnsi="Open Sans" w:cs="Open Sans"/>
        <w:color w:val="F79646"/>
      </w:rPr>
      <w:t xml:space="preserve"> </w:t>
    </w:r>
    <w:proofErr w:type="gramStart"/>
    <w:r>
      <w:rPr>
        <w:rFonts w:ascii="Open Sans" w:eastAsia="Open Sans" w:hAnsi="Open Sans" w:cs="Open Sans"/>
        <w:color w:val="F79646"/>
      </w:rPr>
      <w:t>Tel.:+</w:t>
    </w:r>
    <w:proofErr w:type="gramEnd"/>
    <w:r>
      <w:rPr>
        <w:rFonts w:ascii="Open Sans" w:eastAsia="Open Sans" w:hAnsi="Open Sans" w:cs="Open Sans"/>
        <w:color w:val="F79646"/>
      </w:rPr>
      <w:t xml:space="preserve">420 773 687 862 </w:t>
    </w:r>
  </w:p>
  <w:p w14:paraId="52254D7E" w14:textId="77777777" w:rsidR="009C3635" w:rsidRDefault="009C3635">
    <w:pPr>
      <w:pBdr>
        <w:top w:val="nil"/>
        <w:left w:val="nil"/>
        <w:bottom w:val="nil"/>
        <w:right w:val="nil"/>
        <w:between w:val="nil"/>
      </w:pBdr>
      <w:tabs>
        <w:tab w:val="left" w:pos="1632"/>
      </w:tabs>
      <w:ind w:left="-1417"/>
      <w:rPr>
        <w:color w:val="000000"/>
        <w:sz w:val="22"/>
        <w:szCs w:val="22"/>
      </w:rPr>
    </w:pPr>
  </w:p>
  <w:p w14:paraId="7C1AA985" w14:textId="77777777" w:rsidR="009C3635" w:rsidRDefault="009C3635">
    <w:pPr>
      <w:pBdr>
        <w:top w:val="nil"/>
        <w:left w:val="nil"/>
        <w:bottom w:val="nil"/>
        <w:right w:val="nil"/>
        <w:between w:val="nil"/>
      </w:pBdr>
      <w:ind w:left="-1417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27D3" w14:textId="77777777" w:rsidR="00347356" w:rsidRDefault="00347356">
      <w:r>
        <w:separator/>
      </w:r>
    </w:p>
  </w:footnote>
  <w:footnote w:type="continuationSeparator" w:id="0">
    <w:p w14:paraId="37A79562" w14:textId="77777777" w:rsidR="00347356" w:rsidRDefault="0034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1E3C" w14:textId="77777777" w:rsidR="009C3635" w:rsidRDefault="00000000">
    <w:pPr>
      <w:pBdr>
        <w:top w:val="nil"/>
        <w:left w:val="nil"/>
        <w:bottom w:val="nil"/>
        <w:right w:val="nil"/>
        <w:between w:val="nil"/>
      </w:pBdr>
      <w:tabs>
        <w:tab w:val="left" w:pos="2977"/>
      </w:tabs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11BCC65" wp14:editId="527D3F0B">
          <wp:simplePos x="0" y="0"/>
          <wp:positionH relativeFrom="column">
            <wp:posOffset>-880108</wp:posOffset>
          </wp:positionH>
          <wp:positionV relativeFrom="paragraph">
            <wp:posOffset>-653413</wp:posOffset>
          </wp:positionV>
          <wp:extent cx="8258175" cy="131254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8175" cy="1312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85A"/>
    <w:multiLevelType w:val="multilevel"/>
    <w:tmpl w:val="38E865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0399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35"/>
    <w:rsid w:val="00347356"/>
    <w:rsid w:val="007469A0"/>
    <w:rsid w:val="00876C7E"/>
    <w:rsid w:val="009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0C999"/>
  <w15:docId w15:val="{0586DF71-4AF4-C64E-9E1D-7F436EEC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E606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06F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C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ppov/rnno/zakladni-informace-767/" TargetMode="External"/><Relationship Id="rId13" Type="http://schemas.openxmlformats.org/officeDocument/2006/relationships/hyperlink" Target="mailto:mouralova@glopolis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lopolis.org/konference-strategicka-partnerstv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polis.org/publikace/prispevek-nevladnich-neziskovych-organizaci-k-priprave-a-realizaci-programu-predsednictvi-cr-v-rade-eu-202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lopolis.org/koordinace-neziskoveho-sektoru-neon/hodnoceni-ceske-predsednictvi-v-rade-eu-nestatnimi-neziskovymi-organizace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opolis.org/koordinace-neziskoveho-sektoru-neon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opolis.orgi/" TargetMode="External"/><Relationship Id="rId2" Type="http://schemas.openxmlformats.org/officeDocument/2006/relationships/hyperlink" Target="mailto:info@glopolis.org" TargetMode="External"/><Relationship Id="rId1" Type="http://schemas.openxmlformats.org/officeDocument/2006/relationships/image" Target="media/image2.png"/><Relationship Id="rId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JPWmJlkvn3gZF+eYLyurr1j6A==">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Mouralová Blanka, Mgr.</dc:creator>
  <cp:lastModifiedBy>Ingrid Dečmanová</cp:lastModifiedBy>
  <cp:revision>2</cp:revision>
  <dcterms:created xsi:type="dcterms:W3CDTF">2023-05-26T15:11:00Z</dcterms:created>
  <dcterms:modified xsi:type="dcterms:W3CDTF">2023-05-26T15:11:00Z</dcterms:modified>
</cp:coreProperties>
</file>